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jc w:val="center"/>
        <w:tblLayout w:type="fixed"/>
        <w:tblLook w:val="04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:rsidRPr="00952F66">
        <w:trPr>
          <w:trHeight w:hRule="exact" w:val="10800"/>
          <w:jc w:val="center"/>
        </w:trPr>
        <w:tc>
          <w:tcPr>
            <w:tcW w:w="3840" w:type="dxa"/>
          </w:tcPr>
          <w:p w:rsidR="00007663" w:rsidRPr="00952F66" w:rsidRDefault="00327BFA">
            <w:pPr>
              <w:rPr>
                <w:noProof/>
              </w:rPr>
            </w:pPr>
            <w:r>
              <w:rPr>
                <w:noProof/>
                <w:lang w:eastAsia="ru-RU"/>
              </w:rPr>
              <w:pict>
                <v:rect id="Прямоугольник 8" o:spid="_x0000_s1026" style="position:absolute;margin-left:-1.7pt;margin-top:-6.6pt;width:193.5pt;height:31.5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" fillcolor="#418ab3 [3204]" strokecolor="#204458 [1604]" strokeweight="1pt">
                  <v:textbox>
                    <w:txbxContent>
                      <w:p w:rsidR="00A91CD4" w:rsidRPr="00A91CD4" w:rsidRDefault="00A91CD4" w:rsidP="00A91CD4">
                        <w:pPr>
                          <w:jc w:val="center"/>
                          <w:rPr>
                            <w:rFonts w:ascii="Times New Roman" w:hAnsi="Times New Roman" w:cs="Times New Roman"/>
                            <w:color w:val="auto"/>
                            <w:sz w:val="20"/>
                          </w:rPr>
                        </w:pPr>
                        <w:r w:rsidRPr="00A91CD4">
                          <w:rPr>
                            <w:rFonts w:ascii="Times New Roman" w:hAnsi="Times New Roman" w:cs="Times New Roman"/>
                            <w:color w:val="auto"/>
                            <w:sz w:val="20"/>
                          </w:rPr>
                          <w:t>Что делать, если налоговое уведомление не получено</w:t>
                        </w:r>
                      </w:p>
                    </w:txbxContent>
                  </v:textbox>
                  <w10:wrap anchorx="margin"/>
                </v:rect>
              </w:pict>
            </w:r>
          </w:p>
          <w:p w:rsidR="00A91CD4" w:rsidRDefault="00A91CD4" w:rsidP="00CD4AAB">
            <w:pPr>
              <w:pStyle w:val="a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noProof/>
                <w:sz w:val="20"/>
              </w:rPr>
            </w:pPr>
          </w:p>
          <w:p w:rsidR="00CD4AAB" w:rsidRPr="0093752D" w:rsidRDefault="00CD4AAB" w:rsidP="00CD4AAB">
            <w:pPr>
              <w:pStyle w:val="a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noProof/>
                <w:color w:val="auto"/>
                <w:sz w:val="20"/>
              </w:rPr>
            </w:pPr>
            <w:r w:rsidRPr="0093752D">
              <w:rPr>
                <w:rFonts w:ascii="Times New Roman" w:hAnsi="Times New Roman" w:cs="Times New Roman"/>
                <w:noProof/>
                <w:color w:val="auto"/>
                <w:sz w:val="20"/>
              </w:rPr>
              <w:t>Налоговые уведомления владельцам налогооблагаемых объектов направляются налоговыми органами (размещаются в личном кабинете налогоплательщика) не позднее 30 дней до наступления срока уплаты налогов: не позднее 1 декабря года, следующего за истекшим налоговым периодом, за который уплачиваются налоги.</w:t>
            </w:r>
          </w:p>
          <w:p w:rsidR="00CD4AAB" w:rsidRPr="0093752D" w:rsidRDefault="00CD4AAB" w:rsidP="00CD4AAB">
            <w:pPr>
              <w:pStyle w:val="a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noProof/>
                <w:color w:val="auto"/>
                <w:sz w:val="20"/>
              </w:rPr>
            </w:pPr>
            <w:r w:rsidRPr="0093752D">
              <w:rPr>
                <w:rFonts w:ascii="Times New Roman" w:hAnsi="Times New Roman" w:cs="Times New Roman"/>
                <w:noProof/>
                <w:color w:val="auto"/>
                <w:sz w:val="20"/>
              </w:rPr>
              <w:t xml:space="preserve">Таким образом, налоговые уведомления за налоговый период 2019 года направляются не позднее 1 ноября 2020 г. при наличии установленных ст. 52 НК РФ оснований для их направления. При этом налоговые уведомления не направляются по почте на бумажном носителе в следующих случаях: </w:t>
            </w:r>
          </w:p>
          <w:p w:rsidR="00CD4AAB" w:rsidRPr="0093752D" w:rsidRDefault="00CD4AAB" w:rsidP="00CD4AAB">
            <w:pPr>
              <w:pStyle w:val="a"/>
              <w:jc w:val="both"/>
              <w:rPr>
                <w:rFonts w:ascii="Times New Roman" w:hAnsi="Times New Roman" w:cs="Times New Roman"/>
                <w:noProof/>
                <w:color w:val="auto"/>
                <w:sz w:val="20"/>
              </w:rPr>
            </w:pPr>
            <w:r w:rsidRPr="0093752D">
              <w:rPr>
                <w:rFonts w:ascii="Times New Roman" w:hAnsi="Times New Roman" w:cs="Times New Roman"/>
                <w:noProof/>
                <w:color w:val="auto"/>
                <w:sz w:val="20"/>
              </w:rPr>
              <w:t xml:space="preserve">1) наличие налоговой льготы, налогового вычета, иных установленных законодательством оснований, полностью освобождающих владельца объекта налогообложения от уплаты налога; </w:t>
            </w:r>
          </w:p>
          <w:p w:rsidR="00CD4AAB" w:rsidRPr="0093752D" w:rsidRDefault="00CD4AAB" w:rsidP="00CD4AAB">
            <w:pPr>
              <w:pStyle w:val="a"/>
              <w:jc w:val="both"/>
              <w:rPr>
                <w:rFonts w:ascii="Times New Roman" w:hAnsi="Times New Roman" w:cs="Times New Roman"/>
                <w:noProof/>
                <w:color w:val="auto"/>
                <w:sz w:val="20"/>
              </w:rPr>
            </w:pPr>
            <w:r w:rsidRPr="0093752D">
              <w:rPr>
                <w:rFonts w:ascii="Times New Roman" w:hAnsi="Times New Roman" w:cs="Times New Roman"/>
                <w:noProof/>
                <w:color w:val="auto"/>
                <w:sz w:val="20"/>
              </w:rPr>
              <w:t xml:space="preserve">2) если общая сумма налогов, отражаемых в налоговом уведомлении, составляет менее 100 рублей, за исключением случая направления налогового уведомления в календарном году, по истечении которого утрачивается возможность направления налоговым органом налогового уведомления; </w:t>
            </w:r>
          </w:p>
          <w:p w:rsidR="00007663" w:rsidRPr="00952F66" w:rsidRDefault="00007663" w:rsidP="00CD4AAB">
            <w:pPr>
              <w:pStyle w:val="a"/>
              <w:numPr>
                <w:ilvl w:val="0"/>
                <w:numId w:val="0"/>
              </w:numPr>
              <w:ind w:left="288"/>
              <w:rPr>
                <w:noProof/>
              </w:rPr>
            </w:pPr>
          </w:p>
        </w:tc>
        <w:tc>
          <w:tcPr>
            <w:tcW w:w="713" w:type="dxa"/>
          </w:tcPr>
          <w:p w:rsidR="00007663" w:rsidRDefault="00007663">
            <w:pPr>
              <w:rPr>
                <w:noProof/>
              </w:rPr>
            </w:pPr>
          </w:p>
          <w:p w:rsidR="00CD4AAB" w:rsidRDefault="00CD4AAB">
            <w:pPr>
              <w:rPr>
                <w:noProof/>
              </w:rPr>
            </w:pPr>
          </w:p>
          <w:p w:rsidR="00CD4AAB" w:rsidRPr="00952F66" w:rsidRDefault="00CD4AAB">
            <w:pPr>
              <w:rPr>
                <w:noProof/>
              </w:rPr>
            </w:pPr>
          </w:p>
        </w:tc>
        <w:tc>
          <w:tcPr>
            <w:tcW w:w="713" w:type="dxa"/>
          </w:tcPr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3843" w:type="dxa"/>
          </w:tcPr>
          <w:tbl>
            <w:tblPr>
              <w:tblStyle w:val="a5"/>
              <w:tblW w:w="5000" w:type="pct"/>
              <w:tblLayout w:type="fixed"/>
              <w:tblLook w:val="04A0"/>
            </w:tblPr>
            <w:tblGrid>
              <w:gridCol w:w="3843"/>
            </w:tblGrid>
            <w:tr w:rsidR="00007663" w:rsidRPr="00952F66" w:rsidTr="004B7762">
              <w:trPr>
                <w:trHeight w:hRule="exact" w:val="8505"/>
              </w:trPr>
              <w:tc>
                <w:tcPr>
                  <w:tcW w:w="5000" w:type="pct"/>
                </w:tcPr>
                <w:p w:rsidR="00CD4AAB" w:rsidRPr="0093752D" w:rsidRDefault="00CD4AAB" w:rsidP="00CD4AAB">
                  <w:pPr>
                    <w:autoSpaceDE w:val="0"/>
                    <w:autoSpaceDN w:val="0"/>
                    <w:adjustRightInd w:val="0"/>
                    <w:ind w:firstLine="708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>3) налогоплательщик является пользователем интернет-сервиса ФНС России – личный кабинет налогоплательщика и при этом не направил в налоговый орган уведомление о необходимости получения налоговых документов на бумажном носителе.</w:t>
                  </w:r>
                </w:p>
                <w:p w:rsidR="00CD4AAB" w:rsidRPr="0093752D" w:rsidRDefault="00CD4AAB" w:rsidP="002A1389">
                  <w:pPr>
                    <w:autoSpaceDE w:val="0"/>
                    <w:autoSpaceDN w:val="0"/>
                    <w:adjustRightInd w:val="0"/>
                    <w:spacing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>В иных случаях при неполучении до 1 ноября налогового уведомления за период владения налогооблагаемыми недвижимостью или транспортным средством, налогоплательщику необходимо обратиться в налоговую инспекцию либо направить информацию через «Личный кабинет налогоплательщика» или с использованием интернет-сервиса ФНС России «Обратиться в ФНС России».</w:t>
                  </w:r>
                </w:p>
                <w:p w:rsidR="00CD4AAB" w:rsidRDefault="00CD4AAB" w:rsidP="002A1389">
                  <w:pPr>
                    <w:autoSpaceDE w:val="0"/>
                    <w:autoSpaceDN w:val="0"/>
                    <w:adjustRightInd w:val="0"/>
                    <w:spacing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 xml:space="preserve">Владельцы недвижимости или транспортных средств, которые никогда не получали налоговые уведомления за истекший налоговый период и не заявляли налоговые льготы в отношении налогооблагаемого имущества, </w:t>
                  </w:r>
                  <w:hyperlink r:id="rId10" w:history="1">
                    <w:r w:rsidRPr="0093752D">
                      <w:rPr>
                        <w:rFonts w:ascii="Times New Roman" w:hAnsi="Times New Roman" w:cs="Times New Roman"/>
                        <w:color w:val="auto"/>
                        <w:sz w:val="20"/>
                      </w:rPr>
                      <w:t>обязаны сообщать о наличии у них данных объектов в любой налоговый орган</w:t>
                    </w:r>
                  </w:hyperlink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 xml:space="preserve"> (форма сообщения утверждена приказом ФНС России от 26.11.2014 № ММВ-7-11/598@). </w:t>
                  </w:r>
                </w:p>
                <w:p w:rsidR="00F264ED" w:rsidRDefault="00F264ED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</w:pPr>
                </w:p>
                <w:p w:rsidR="00F264ED" w:rsidRDefault="00F264ED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</w:pPr>
                </w:p>
                <w:p w:rsidR="00036317" w:rsidRDefault="00036317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</w:pPr>
                </w:p>
                <w:p w:rsidR="00036317" w:rsidRDefault="00036317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</w:pPr>
                </w:p>
                <w:p w:rsidR="00F264ED" w:rsidRDefault="005F1D59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</w:pPr>
                  <w:r w:rsidRPr="00F264ED"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  <w:t>контакт-центр ФНС России</w:t>
                  </w:r>
                </w:p>
                <w:p w:rsidR="004B7762" w:rsidRDefault="005F1D59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20"/>
                    </w:rPr>
                  </w:pPr>
                  <w:r w:rsidRPr="00F264ED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0"/>
                    </w:rPr>
                    <w:t>тел. 8 800 – 222-22-22</w:t>
                  </w:r>
                </w:p>
                <w:p w:rsidR="000B4BBC" w:rsidRPr="00F264ED" w:rsidRDefault="000B4BBC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20"/>
                    </w:rPr>
                  </w:pPr>
                </w:p>
                <w:p w:rsidR="004B7762" w:rsidRDefault="004B7762" w:rsidP="00CD4AAB">
                  <w:pPr>
                    <w:autoSpaceDE w:val="0"/>
                    <w:autoSpaceDN w:val="0"/>
                    <w:adjustRightInd w:val="0"/>
                    <w:ind w:firstLine="708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</w:p>
                <w:p w:rsidR="004B7762" w:rsidRDefault="004B7762" w:rsidP="00CD4AAB">
                  <w:pPr>
                    <w:autoSpaceDE w:val="0"/>
                    <w:autoSpaceDN w:val="0"/>
                    <w:adjustRightInd w:val="0"/>
                    <w:ind w:firstLine="708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</w:p>
                <w:p w:rsidR="004B7762" w:rsidRPr="0093752D" w:rsidRDefault="004B7762" w:rsidP="00CD4AAB">
                  <w:pPr>
                    <w:autoSpaceDE w:val="0"/>
                    <w:autoSpaceDN w:val="0"/>
                    <w:adjustRightInd w:val="0"/>
                    <w:ind w:firstLine="708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</w:p>
                <w:p w:rsidR="00007663" w:rsidRPr="00CD4AAB" w:rsidRDefault="00007663">
                  <w:pPr>
                    <w:rPr>
                      <w:rFonts w:ascii="Times New Roman" w:hAnsi="Times New Roman" w:cs="Times New Roman"/>
                      <w:noProof/>
                      <w:sz w:val="20"/>
                    </w:rPr>
                  </w:pPr>
                </w:p>
              </w:tc>
            </w:tr>
            <w:tr w:rsidR="00007663" w:rsidRPr="00952F66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007663" w:rsidRPr="0047623F" w:rsidRDefault="000B4BBC">
                  <w:pPr>
                    <w:rPr>
                      <w:rFonts w:ascii="Times New Roman" w:hAnsi="Times New Roman" w:cs="Times New Roman"/>
                      <w:noProof/>
                      <w:sz w:val="20"/>
                      <w:lang w:val="en-US"/>
                    </w:rPr>
                  </w:pPr>
                  <w:r w:rsidRPr="000B4BBC">
                    <w:rPr>
                      <w:rFonts w:ascii="Times New Roman" w:hAnsi="Times New Roman" w:cs="Times New Roman"/>
                      <w:noProof/>
                      <w:sz w:val="20"/>
                      <w:lang w:eastAsia="ru-RU"/>
                    </w:rPr>
                    <w:drawing>
                      <wp:inline distT="0" distB="0" distL="0" distR="0">
                        <wp:extent cx="2350920" cy="1581150"/>
                        <wp:effectExtent l="0" t="0" r="0" b="0"/>
                        <wp:docPr id="29" name="Рисунок 29" descr="D:\картинки\1587495166_16-p-foni-s-gorodom-vologda-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D:\картинки\1587495166_16-p-foni-s-gorodom-vologda-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1052" cy="1621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3851" w:type="dxa"/>
          </w:tcPr>
          <w:p w:rsidR="00E2393B" w:rsidRDefault="00E2393B"/>
          <w:tbl>
            <w:tblPr>
              <w:tblStyle w:val="a5"/>
              <w:tblpPr w:leftFromText="180" w:rightFromText="180" w:vertAnchor="page" w:horzAnchor="margin" w:tblpY="490"/>
              <w:tblOverlap w:val="never"/>
              <w:tblW w:w="4536" w:type="dxa"/>
              <w:tblLayout w:type="fixed"/>
              <w:tblLook w:val="04A0"/>
            </w:tblPr>
            <w:tblGrid>
              <w:gridCol w:w="4536"/>
            </w:tblGrid>
            <w:tr w:rsidR="00007663" w:rsidRPr="00952F66" w:rsidTr="00013902">
              <w:trPr>
                <w:trHeight w:hRule="exact" w:val="7655"/>
              </w:trPr>
              <w:tc>
                <w:tcPr>
                  <w:tcW w:w="5000" w:type="pct"/>
                </w:tcPr>
                <w:p w:rsidR="00007663" w:rsidRPr="00952F66" w:rsidRDefault="00327BFA">
                  <w:pPr>
                    <w:rPr>
                      <w:noProof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rect id="Прямоугольник 10" o:spid="_x0000_s1027" style="position:absolute;margin-left:103.1pt;margin-top:24.9pt;width:143.25pt;height:48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" fillcolor="#418ab3 [3204]" strokecolor="#204458 [1604]" strokeweight="1pt">
                        <v:textbox>
                          <w:txbxContent>
                            <w:p w:rsidR="00AE2FC3" w:rsidRPr="00A97D4C" w:rsidRDefault="0099701F" w:rsidP="00AE2FC3">
                              <w:pPr>
                                <w:jc w:val="center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МЕЖРАЙОННАЯ И</w:t>
                              </w:r>
                              <w:r w:rsidR="00AE2FC3" w:rsidRPr="00A97D4C">
                                <w:rPr>
                                  <w:color w:val="auto"/>
                                </w:rPr>
                                <w:t xml:space="preserve">ФНС РОССИИ </w:t>
                              </w:r>
                              <w:r>
                                <w:rPr>
                                  <w:color w:val="auto"/>
                                </w:rPr>
                                <w:t xml:space="preserve">№ 4 </w:t>
                              </w:r>
                              <w:r w:rsidR="00AE2FC3" w:rsidRPr="00A97D4C">
                                <w:rPr>
                                  <w:color w:val="auto"/>
                                </w:rPr>
                                <w:t>ПО ВОЛОГОДСКОЙ ОБЛАСТИ</w:t>
                              </w:r>
                            </w:p>
                          </w:txbxContent>
                        </v:textbox>
                      </v:rect>
                    </w:pict>
                  </w:r>
                  <w:r w:rsidR="000D080C" w:rsidRPr="000D080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95078" cy="1066800"/>
                        <wp:effectExtent l="0" t="0" r="0" b="0"/>
                        <wp:docPr id="28" name="Рисунок 28" descr="D:\картинки\original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D:\картинки\original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6301" cy="1117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7663" w:rsidRDefault="00007663">
                  <w:pPr>
                    <w:rPr>
                      <w:noProof/>
                    </w:rPr>
                  </w:pPr>
                </w:p>
                <w:p w:rsidR="00013902" w:rsidRDefault="00013902">
                  <w:pPr>
                    <w:rPr>
                      <w:noProof/>
                    </w:rPr>
                  </w:pPr>
                </w:p>
                <w:p w:rsidR="00D1188B" w:rsidRDefault="00D1188B">
                  <w:pPr>
                    <w:rPr>
                      <w:noProof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5165" cy="316230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5165" cy="3162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188B" w:rsidRDefault="00D1188B">
                  <w:pPr>
                    <w:rPr>
                      <w:noProof/>
                    </w:rPr>
                  </w:pPr>
                </w:p>
                <w:p w:rsidR="00D1188B" w:rsidRDefault="00D1188B">
                  <w:pPr>
                    <w:rPr>
                      <w:noProof/>
                    </w:rPr>
                  </w:pPr>
                </w:p>
                <w:p w:rsidR="00D1188B" w:rsidRDefault="00D1188B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0B2A5C">
                  <w:pPr>
                    <w:rPr>
                      <w:noProof/>
                    </w:rPr>
                  </w:pPr>
                  <w:r w:rsidRPr="000B2A5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16225" cy="13716000"/>
                        <wp:effectExtent l="0" t="0" r="9525" b="0"/>
                        <wp:docPr id="16" name="Рисунок 16" descr="D:\картинки\TGGfUBxQVi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картинки\TGGfUBxQVi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16225" cy="137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Pr="00952F66" w:rsidRDefault="0030487F">
                  <w:pPr>
                    <w:rPr>
                      <w:noProof/>
                    </w:rPr>
                  </w:pPr>
                </w:p>
              </w:tc>
            </w:tr>
            <w:tr w:rsidR="00145874" w:rsidRPr="00952F66" w:rsidTr="00013902">
              <w:trPr>
                <w:trHeight w:hRule="exact" w:val="7655"/>
              </w:trPr>
              <w:tc>
                <w:tcPr>
                  <w:tcW w:w="5000" w:type="pct"/>
                </w:tcPr>
                <w:p w:rsidR="00145874" w:rsidRDefault="00145874">
                  <w:pPr>
                    <w:rPr>
                      <w:noProof/>
                      <w:lang w:eastAsia="ru-RU"/>
                    </w:rPr>
                  </w:pPr>
                </w:p>
                <w:p w:rsidR="0047623F" w:rsidRDefault="0047623F">
                  <w:pPr>
                    <w:rPr>
                      <w:noProof/>
                      <w:lang w:eastAsia="ru-RU"/>
                    </w:rPr>
                  </w:pPr>
                </w:p>
                <w:p w:rsidR="0047623F" w:rsidRDefault="0047623F">
                  <w:pPr>
                    <w:rPr>
                      <w:noProof/>
                      <w:lang w:eastAsia="ru-RU"/>
                    </w:rPr>
                  </w:pPr>
                </w:p>
                <w:p w:rsidR="0047623F" w:rsidRDefault="0047623F">
                  <w:pPr>
                    <w:rPr>
                      <w:noProof/>
                      <w:lang w:eastAsia="ru-RU"/>
                    </w:rPr>
                  </w:pPr>
                </w:p>
                <w:p w:rsidR="0047623F" w:rsidRDefault="0047623F">
                  <w:pPr>
                    <w:rPr>
                      <w:noProof/>
                      <w:lang w:eastAsia="ru-RU"/>
                    </w:rPr>
                  </w:pPr>
                </w:p>
                <w:p w:rsidR="0047623F" w:rsidRDefault="0047623F">
                  <w:pPr>
                    <w:rPr>
                      <w:noProof/>
                      <w:lang w:eastAsia="ru-RU"/>
                    </w:rPr>
                  </w:pPr>
                </w:p>
                <w:p w:rsidR="0047623F" w:rsidRPr="0047623F" w:rsidRDefault="0047623F" w:rsidP="0047623F">
                  <w:pPr>
                    <w:jc w:val="center"/>
                    <w:rPr>
                      <w:b/>
                      <w:noProof/>
                      <w:sz w:val="32"/>
                      <w:szCs w:val="32"/>
                      <w:lang w:val="en-US" w:eastAsia="ru-RU"/>
                    </w:rPr>
                  </w:pPr>
                  <w:r w:rsidRPr="0047623F">
                    <w:rPr>
                      <w:b/>
                      <w:noProof/>
                      <w:color w:val="auto"/>
                      <w:sz w:val="32"/>
                      <w:szCs w:val="32"/>
                      <w:lang w:val="en-US" w:eastAsia="ru-RU"/>
                    </w:rPr>
                    <w:t>2020</w:t>
                  </w:r>
                </w:p>
              </w:tc>
            </w:tr>
            <w:tr w:rsidR="00007663" w:rsidRPr="00952F66" w:rsidTr="00CD4AAB">
              <w:trPr>
                <w:trHeight w:hRule="exact" w:val="360"/>
              </w:trPr>
              <w:tc>
                <w:tcPr>
                  <w:tcW w:w="5000" w:type="pct"/>
                </w:tcPr>
                <w:p w:rsidR="00007663" w:rsidRPr="00952F66" w:rsidRDefault="00007663">
                  <w:pPr>
                    <w:rPr>
                      <w:noProof/>
                    </w:rPr>
                  </w:pPr>
                </w:p>
              </w:tc>
            </w:tr>
            <w:tr w:rsidR="00CD4AAB" w:rsidRPr="00952F66" w:rsidTr="00CD4AAB">
              <w:trPr>
                <w:trHeight w:hRule="exact" w:val="3375"/>
              </w:trPr>
              <w:tc>
                <w:tcPr>
                  <w:tcW w:w="5000" w:type="pct"/>
                </w:tcPr>
                <w:p w:rsidR="00CD4AAB" w:rsidRPr="00952F66" w:rsidRDefault="00CD4AAB">
                  <w:pPr>
                    <w:rPr>
                      <w:noProof/>
                    </w:rPr>
                  </w:pPr>
                </w:p>
              </w:tc>
            </w:tr>
            <w:tr w:rsidR="0030487F" w:rsidRPr="00952F66" w:rsidTr="00CD4AAB">
              <w:trPr>
                <w:trHeight w:hRule="exact" w:val="3375"/>
              </w:trPr>
              <w:tc>
                <w:tcPr>
                  <w:tcW w:w="5000" w:type="pct"/>
                </w:tcPr>
                <w:p w:rsidR="0030487F" w:rsidRDefault="0030487F">
                  <w:pPr>
                    <w:rPr>
                      <w:noProof/>
                      <w:lang w:eastAsia="ru-RU"/>
                    </w:rPr>
                  </w:pPr>
                </w:p>
              </w:tc>
            </w:tr>
            <w:tr w:rsidR="00007663" w:rsidRPr="00952F66" w:rsidTr="00CD4AAB">
              <w:trPr>
                <w:trHeight w:hRule="exact" w:val="3240"/>
              </w:trPr>
              <w:tc>
                <w:tcPr>
                  <w:tcW w:w="5000" w:type="pct"/>
                  <w:shd w:val="clear" w:color="auto" w:fill="418AB3" w:themeFill="accent1"/>
                </w:tcPr>
                <w:p w:rsidR="00007663" w:rsidRPr="00CD4AAB" w:rsidRDefault="00007663" w:rsidP="00CD4AAB"/>
              </w:tc>
            </w:tr>
            <w:tr w:rsidR="00007663" w:rsidRPr="00952F66" w:rsidTr="00CD4AAB">
              <w:trPr>
                <w:trHeight w:hRule="exact" w:val="1440"/>
              </w:trPr>
              <w:tc>
                <w:tcPr>
                  <w:tcW w:w="5000" w:type="pct"/>
                  <w:shd w:val="clear" w:color="auto" w:fill="418AB3" w:themeFill="accent1"/>
                  <w:vAlign w:val="bottom"/>
                </w:tcPr>
                <w:p w:rsidR="00007663" w:rsidRPr="00952F66" w:rsidRDefault="00007663">
                  <w:pPr>
                    <w:pStyle w:val="ad"/>
                    <w:rPr>
                      <w:noProof/>
                    </w:rPr>
                  </w:pPr>
                </w:p>
              </w:tc>
            </w:tr>
          </w:tbl>
          <w:p w:rsidR="00007663" w:rsidRPr="00952F66" w:rsidRDefault="00007663">
            <w:pPr>
              <w:rPr>
                <w:noProof/>
              </w:rPr>
            </w:pPr>
          </w:p>
        </w:tc>
      </w:tr>
    </w:tbl>
    <w:p w:rsidR="00007663" w:rsidRPr="00952F66" w:rsidRDefault="00007663">
      <w:pPr>
        <w:pStyle w:val="af"/>
        <w:rPr>
          <w:noProof/>
        </w:rPr>
      </w:pPr>
    </w:p>
    <w:tbl>
      <w:tblPr>
        <w:tblStyle w:val="a5"/>
        <w:tblW w:w="0" w:type="auto"/>
        <w:jc w:val="center"/>
        <w:tblLayout w:type="fixed"/>
        <w:tblLook w:val="04A0"/>
      </w:tblPr>
      <w:tblGrid>
        <w:gridCol w:w="3840"/>
        <w:gridCol w:w="713"/>
        <w:gridCol w:w="692"/>
        <w:gridCol w:w="3864"/>
        <w:gridCol w:w="720"/>
        <w:gridCol w:w="720"/>
        <w:gridCol w:w="3851"/>
      </w:tblGrid>
      <w:tr w:rsidR="00CD4AAB" w:rsidRPr="00CD4AAB" w:rsidTr="00CD4AAB">
        <w:trPr>
          <w:trHeight w:hRule="exact" w:val="10800"/>
          <w:jc w:val="center"/>
        </w:trPr>
        <w:tc>
          <w:tcPr>
            <w:tcW w:w="3840" w:type="dxa"/>
          </w:tcPr>
          <w:p w:rsidR="00007663" w:rsidRPr="003747F8" w:rsidRDefault="00007663" w:rsidP="00CD4AAB">
            <w:pPr>
              <w:spacing w:after="320"/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  <w:p w:rsidR="00CD4AAB" w:rsidRPr="00C10E7F" w:rsidRDefault="00CD4AAB" w:rsidP="00CD4AAB">
            <w:pPr>
              <w:jc w:val="both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C10E7F">
              <w:rPr>
                <w:rFonts w:ascii="Times New Roman" w:hAnsi="Times New Roman" w:cs="Times New Roman"/>
                <w:b/>
                <w:color w:val="auto"/>
                <w:sz w:val="20"/>
              </w:rPr>
              <w:t>1) по транспортному налогу</w:t>
            </w: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- отменен налоговый вычет по налогу в размере платы за вред, который дорогам федерального значения причиняют большегрузы – автомобили с разрешенной максимальной массой свыше 12 т (ч. 4 ст. 2 Федерального закона от 03.07.2016 № 249-ФЗ); </w:t>
            </w: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>- введен беззаявительный порядок предоставления льгот: если физическое лицо, имеющее право на нал</w:t>
            </w:r>
            <w:bookmarkStart w:id="0" w:name="_GoBack"/>
            <w:bookmarkEnd w:id="0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оговую льготу, не представило заявление о предоставлении налоговой льготы или не сообщило об отказе от применения налоговой льготы, налоговая льгота предоставляется на основании сведений, полученных налоговым органом в соответствии с федеральными законами, в частности, пенсионерам, предпенсионерам, инвалидам, (п. 66 ст. 2 Федерального закона от 29.09.2019 № 325-ФЗ); </w:t>
            </w:r>
          </w:p>
          <w:p w:rsidR="00007663" w:rsidRDefault="00CD4AAB" w:rsidP="00CD4AAB">
            <w:pPr>
              <w:jc w:val="both"/>
              <w:rPr>
                <w:rFonts w:ascii="Times New Roman" w:hAnsi="Times New Roman" w:cs="Times New Roman"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- при расчете налога будет применен новый Перечень  http://minpromtorg.gov.ru/docs/#!perechen_legkovyh_avtomobiley_sredney_stoimostyu_ot_3_millionov_rubley_podlezhashhiy_primeneniyu_v_ocherednom_nalogovom_periode_2019_god легковых автомобилей средней стоимостью от 3 млн руб. за 2019 год, размещенный на сайте Минпромторга России. </w:t>
            </w:r>
          </w:p>
          <w:p w:rsidR="003747F8" w:rsidRPr="00C10E7F" w:rsidRDefault="003747F8" w:rsidP="003747F8">
            <w:pPr>
              <w:jc w:val="both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C10E7F">
              <w:rPr>
                <w:rFonts w:ascii="Times New Roman" w:hAnsi="Times New Roman" w:cs="Times New Roman"/>
                <w:b/>
                <w:color w:val="auto"/>
                <w:sz w:val="20"/>
              </w:rPr>
              <w:t xml:space="preserve">2) по земельному налогу </w:t>
            </w:r>
          </w:p>
          <w:p w:rsidR="003747F8" w:rsidRPr="003747F8" w:rsidRDefault="003747F8" w:rsidP="003747F8">
            <w:pPr>
              <w:jc w:val="both"/>
              <w:rPr>
                <w:rFonts w:ascii="Times New Roman" w:hAnsi="Times New Roman" w:cs="Times New Roman"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>- вводится налоговый вычет, уменьшающий налог на кадастровую стоимость 600 кв. м по одному земельному участку для предпенсионеров – лица, отвечающие условиям, необходимым для назначения пенсии в соответствии с законодательством РФ, действовавшим на 31.12.2018 (ст. 1 Федерального закона от 30.10.2018 № 378-ФЗ);</w:t>
            </w:r>
          </w:p>
        </w:tc>
        <w:tc>
          <w:tcPr>
            <w:tcW w:w="713" w:type="dxa"/>
          </w:tcPr>
          <w:p w:rsidR="00007663" w:rsidRPr="003747F8" w:rsidRDefault="00007663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</w:tc>
        <w:tc>
          <w:tcPr>
            <w:tcW w:w="692" w:type="dxa"/>
          </w:tcPr>
          <w:p w:rsidR="00007663" w:rsidRPr="003747F8" w:rsidRDefault="00007663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</w:tc>
        <w:tc>
          <w:tcPr>
            <w:tcW w:w="3864" w:type="dxa"/>
          </w:tcPr>
          <w:p w:rsidR="00C10E7F" w:rsidRDefault="00014143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014143">
              <w:rPr>
                <w:rFonts w:ascii="Times New Roman" w:hAnsi="Times New Roman" w:cs="Times New Roman"/>
                <w:noProof/>
                <w:color w:val="auto"/>
                <w:szCs w:val="18"/>
              </w:rPr>
              <w:t>на 31.12.2018 (ст. 1 Федерального закона от 30.10.2018 № 378-ФЗ);</w:t>
            </w:r>
          </w:p>
          <w:p w:rsidR="00007663" w:rsidRPr="003747F8" w:rsidRDefault="00CD4AAB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- применяются изменения в системе налоговых ставок и льгот в соответствии с нормативными правовыми актами муниципальных образований по месту нахождения земельных участков. С информацией о налоговых ставках и льготах можно ознакомиться в рубрике «Справочная информация о ставках и льготах по имущественным налогам» (</w:t>
            </w:r>
            <w:hyperlink r:id="rId15" w:history="1">
              <w:r w:rsidRPr="003747F8">
                <w:rPr>
                  <w:rStyle w:val="af3"/>
                  <w:rFonts w:ascii="Times New Roman" w:hAnsi="Times New Roman" w:cs="Times New Roman"/>
                  <w:noProof/>
                  <w:szCs w:val="18"/>
                </w:rPr>
                <w:t>https://www.nalog.ru/rn77/service/tax/</w:t>
              </w:r>
            </w:hyperlink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);</w:t>
            </w: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b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b/>
                <w:noProof/>
                <w:color w:val="auto"/>
                <w:szCs w:val="18"/>
              </w:rPr>
              <w:t xml:space="preserve">3) по налогу на имущество физических лиц  </w:t>
            </w: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 xml:space="preserve">- вводится льгота, освобождающая предпенсионеров от уплаты налога в отношении одного объекта определенного вида (жилого дома, квартиры, комнаты, гаража и т.п.), который не используется в предпринимательской деятельности (ст. 1 Федерального закона от 30.10.2018 № 378-ФЗ); </w:t>
            </w: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- при расчете налога за налоговый период 2019 года применяются коэффициент 10-ти процентного ограничения роста налога по сравнению с предшествующим налоговым периодом;</w:t>
            </w:r>
          </w:p>
          <w:p w:rsidR="00CD4AAB" w:rsidRDefault="00CD4AAB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- применяются изменения в системе налоговых ставок и льгот в соответствии с нормативными правовыми актами муниципальных образований по месту нахождения объектов налогообложения. С информацией о налоговых ставках и льготах можно ознакомиться в рубрике «Справочная информация о ставках и льготах по имущественным налогам» (</w:t>
            </w:r>
            <w:hyperlink r:id="rId16" w:history="1">
              <w:r w:rsidR="00116C50" w:rsidRPr="0079688D">
                <w:rPr>
                  <w:rStyle w:val="af3"/>
                  <w:rFonts w:ascii="Times New Roman" w:hAnsi="Times New Roman" w:cs="Times New Roman"/>
                  <w:noProof/>
                  <w:szCs w:val="18"/>
                </w:rPr>
                <w:t>https://www.nalog.ru/rn77/service/tax/</w:t>
              </w:r>
            </w:hyperlink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);</w:t>
            </w:r>
          </w:p>
          <w:p w:rsidR="00116C50" w:rsidRPr="003747F8" w:rsidRDefault="00D64740" w:rsidP="00D64740">
            <w:pPr>
              <w:jc w:val="center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D64740">
              <w:rPr>
                <w:rFonts w:ascii="Times New Roman" w:hAnsi="Times New Roman" w:cs="Times New Roman"/>
                <w:noProof/>
                <w:color w:val="auto"/>
                <w:szCs w:val="18"/>
                <w:lang w:eastAsia="ru-RU"/>
              </w:rPr>
              <w:drawing>
                <wp:inline distT="0" distB="0" distL="0" distR="0">
                  <wp:extent cx="1472271" cy="980334"/>
                  <wp:effectExtent l="0" t="0" r="0" b="0"/>
                  <wp:docPr id="27" name="Рисунок 27" descr="D:\картинки\30222439-senior-couple-doing-the-income-tax-declaration-on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картинки\30222439-senior-couple-doing-the-income-tax-declaration-on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66" cy="100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007663" w:rsidRPr="003747F8" w:rsidRDefault="00007663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</w:tc>
        <w:tc>
          <w:tcPr>
            <w:tcW w:w="720" w:type="dxa"/>
          </w:tcPr>
          <w:p w:rsidR="00007663" w:rsidRPr="003747F8" w:rsidRDefault="00007663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</w:tc>
        <w:tc>
          <w:tcPr>
            <w:tcW w:w="3851" w:type="dxa"/>
          </w:tcPr>
          <w:p w:rsidR="00E86147" w:rsidRPr="003747F8" w:rsidRDefault="00E86147" w:rsidP="00E86147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  <w:p w:rsidR="00E86147" w:rsidRPr="003747F8" w:rsidRDefault="00E86147" w:rsidP="00E86147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  <w:p w:rsidR="00894BCC" w:rsidRPr="003747F8" w:rsidRDefault="00894BCC" w:rsidP="00894BCC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Сведения о налогооблагаемом имуществе и его владельце (включая характеристики имущества, налоговую базу, правообладателя, период владения) в налоговые органы представляют органы, осуществляющие регистрацию (миграционный учет) физических лиц по месту жительства (месту пребывания), регистрацию актов гражданского состояния физических лиц, органы, осуществляющие государственный кадастровый учет и государственную регистрацию прав на недвижимое имущество, органы, осуществляющие регистрацию транспортных средств, органы опеки и попечительства, органы (учреждения), уполномоченные совершать нотариальные действия, и нотариусы, органы, осуществляющие выдачу и замену документов, удостоверяющих личность гражданина Российской Федерации на территории Российской Федерации.</w:t>
            </w:r>
          </w:p>
          <w:p w:rsidR="003747F8" w:rsidRPr="003747F8" w:rsidRDefault="00894BCC" w:rsidP="00894BCC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 xml:space="preserve">Ответственность за достоверность, полноту и актуальность указанных сведений, используемых в целях налогообложения имущества, несут вышеперечисленные регистрирующие органы. </w:t>
            </w:r>
          </w:p>
          <w:p w:rsidR="00894BCC" w:rsidRPr="003747F8" w:rsidRDefault="00894BCC" w:rsidP="00894BCC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 xml:space="preserve">Если, по мнению налогоплательщика, в налоговом уведомлении имеется неактуальная (некорректная) информация об объекте имущества или его владельце, то для её проверки и актуализации необходимо обратиться в налоговые органы любым удобным способом: </w:t>
            </w:r>
          </w:p>
          <w:p w:rsidR="00894BCC" w:rsidRPr="003747F8" w:rsidRDefault="00894BCC" w:rsidP="00894BCC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1) для пользователей «Личного кабинета налогоплательщика» - через личный кабинет налогоплательщика;</w:t>
            </w:r>
          </w:p>
          <w:p w:rsidR="00E86147" w:rsidRPr="003747F8" w:rsidRDefault="00894BCC" w:rsidP="00894BCC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2) для иных лиц: посредством личного обращения в любую налоговую инспекцию либо путём направления почтового сообщения, или с использованием интернет-сервиса ФНС России «Обратиться в ФНС России».</w:t>
            </w:r>
          </w:p>
          <w:p w:rsidR="00007663" w:rsidRPr="003747F8" w:rsidRDefault="00007663" w:rsidP="00047D58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</w:tc>
      </w:tr>
    </w:tbl>
    <w:p w:rsidR="00007663" w:rsidRPr="00CD4AAB" w:rsidRDefault="00327BFA">
      <w:pPr>
        <w:pStyle w:val="af"/>
        <w:rPr>
          <w:rFonts w:ascii="Times New Roman" w:hAnsi="Times New Roman" w:cs="Times New Roman"/>
          <w:noProof/>
          <w:color w:val="auto"/>
        </w:rPr>
      </w:pPr>
      <w:r w:rsidRPr="00327BFA">
        <w:rPr>
          <w:rFonts w:ascii="Times New Roman" w:hAnsi="Times New Roman" w:cs="Times New Roman"/>
          <w:noProof/>
          <w:color w:val="auto"/>
          <w:szCs w:val="18"/>
          <w:lang w:eastAsia="ru-RU"/>
        </w:rPr>
        <w:pict>
          <v:rect id="Прямоугольник 22" o:spid="_x0000_s1028" style="position:absolute;margin-left:1.7pt;margin-top:-540.6pt;width:192.75pt;height:51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" fillcolor="#418ab3 [3204]" strokecolor="#204458 [1604]" strokeweight="1pt">
            <v:textbox>
              <w:txbxContent>
                <w:p w:rsidR="004C64F9" w:rsidRPr="008C097D" w:rsidRDefault="008C097D" w:rsidP="004C64F9">
                  <w:pPr>
                    <w:jc w:val="center"/>
                    <w:rPr>
                      <w:color w:val="auto"/>
                      <w:sz w:val="20"/>
                    </w:rPr>
                  </w:pPr>
                  <w:r w:rsidRPr="008C097D">
                    <w:rPr>
                      <w:color w:val="auto"/>
                      <w:sz w:val="20"/>
                    </w:rPr>
                    <w:t>Основные изменения в налогообложении имущества физических лиц с 2020 года</w:t>
                  </w:r>
                </w:p>
              </w:txbxContent>
            </v:textbox>
          </v:rect>
        </w:pict>
      </w:r>
      <w:r w:rsidRPr="00327BFA">
        <w:rPr>
          <w:rFonts w:ascii="Times New Roman" w:hAnsi="Times New Roman" w:cs="Times New Roman"/>
          <w:noProof/>
          <w:color w:val="auto"/>
          <w:szCs w:val="18"/>
          <w:lang w:eastAsia="ru-RU"/>
        </w:rPr>
        <w:pict>
          <v:rect id="Прямоугольник 21" o:spid="_x0000_s1029" style="position:absolute;margin-left:527.45pt;margin-top:-540.6pt;width:224.25pt;height:37.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" fillcolor="#418ab3 [3204]" strokecolor="#204458 [1604]" strokeweight="1pt">
            <v:textbox>
              <w:txbxContent>
                <w:p w:rsidR="00E86147" w:rsidRDefault="00047D58" w:rsidP="00E86147">
                  <w:pPr>
                    <w:jc w:val="center"/>
                  </w:pPr>
                  <w:r w:rsidRPr="00047D58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t>Что делать, если в налоговом уведомлении некорректная информация</w:t>
                  </w:r>
                </w:p>
              </w:txbxContent>
            </v:textbox>
          </v:rect>
        </w:pict>
      </w:r>
    </w:p>
    <w:sectPr w:rsidR="00007663" w:rsidRPr="00CD4AAB" w:rsidSect="00572A3F">
      <w:pgSz w:w="16838" w:h="11906" w:orient="landscape" w:code="9"/>
      <w:pgMar w:top="432" w:right="1181" w:bottom="432" w:left="118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596F" w:rsidRDefault="009E596F" w:rsidP="00952F66">
      <w:pPr>
        <w:spacing w:after="0" w:line="240" w:lineRule="auto"/>
      </w:pPr>
      <w:r>
        <w:separator/>
      </w:r>
    </w:p>
  </w:endnote>
  <w:endnote w:type="continuationSeparator" w:id="1">
    <w:p w:rsidR="009E596F" w:rsidRDefault="009E596F" w:rsidP="00952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596F" w:rsidRDefault="009E596F" w:rsidP="00952F66">
      <w:pPr>
        <w:spacing w:after="0" w:line="240" w:lineRule="auto"/>
      </w:pPr>
      <w:r>
        <w:separator/>
      </w:r>
    </w:p>
  </w:footnote>
  <w:footnote w:type="continuationSeparator" w:id="1">
    <w:p w:rsidR="009E596F" w:rsidRDefault="009E596F" w:rsidP="00952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5E5E5E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24DA"/>
    <w:rsid w:val="00007663"/>
    <w:rsid w:val="00013902"/>
    <w:rsid w:val="00014143"/>
    <w:rsid w:val="00036317"/>
    <w:rsid w:val="00047D58"/>
    <w:rsid w:val="00091284"/>
    <w:rsid w:val="000B2A5C"/>
    <w:rsid w:val="000B4BBC"/>
    <w:rsid w:val="000D080C"/>
    <w:rsid w:val="00116C50"/>
    <w:rsid w:val="00145874"/>
    <w:rsid w:val="001B333A"/>
    <w:rsid w:val="001D7832"/>
    <w:rsid w:val="002A1389"/>
    <w:rsid w:val="00300CDD"/>
    <w:rsid w:val="0030487F"/>
    <w:rsid w:val="00327BFA"/>
    <w:rsid w:val="00336BD1"/>
    <w:rsid w:val="003747F8"/>
    <w:rsid w:val="0047623F"/>
    <w:rsid w:val="004B7762"/>
    <w:rsid w:val="004C64F9"/>
    <w:rsid w:val="005346C3"/>
    <w:rsid w:val="00572A3F"/>
    <w:rsid w:val="00593EBB"/>
    <w:rsid w:val="005D7EE5"/>
    <w:rsid w:val="005F1D59"/>
    <w:rsid w:val="00870FB9"/>
    <w:rsid w:val="00894BCC"/>
    <w:rsid w:val="008C097D"/>
    <w:rsid w:val="008C2B67"/>
    <w:rsid w:val="0093752D"/>
    <w:rsid w:val="00952F66"/>
    <w:rsid w:val="0099701F"/>
    <w:rsid w:val="009B1CEE"/>
    <w:rsid w:val="009E596F"/>
    <w:rsid w:val="00A662BC"/>
    <w:rsid w:val="00A91CD4"/>
    <w:rsid w:val="00A97D4C"/>
    <w:rsid w:val="00AC5861"/>
    <w:rsid w:val="00AE2FC3"/>
    <w:rsid w:val="00AE4CE7"/>
    <w:rsid w:val="00AF24DA"/>
    <w:rsid w:val="00AF31C1"/>
    <w:rsid w:val="00B1693C"/>
    <w:rsid w:val="00B87CBE"/>
    <w:rsid w:val="00C10E7F"/>
    <w:rsid w:val="00CD4AAB"/>
    <w:rsid w:val="00D1188B"/>
    <w:rsid w:val="00D64740"/>
    <w:rsid w:val="00D73592"/>
    <w:rsid w:val="00E2393B"/>
    <w:rsid w:val="00E408FB"/>
    <w:rsid w:val="00E86147"/>
    <w:rsid w:val="00F264ED"/>
    <w:rsid w:val="00F41B81"/>
    <w:rsid w:val="00F44E43"/>
    <w:rsid w:val="00FE0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6D6D6D" w:themeColor="text2" w:themeTint="E6"/>
        <w:sz w:val="18"/>
        <w:lang w:val="ru-RU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7BFA"/>
  </w:style>
  <w:style w:type="paragraph" w:styleId="1">
    <w:name w:val="heading 1"/>
    <w:basedOn w:val="a0"/>
    <w:next w:val="a0"/>
    <w:link w:val="10"/>
    <w:uiPriority w:val="1"/>
    <w:qFormat/>
    <w:rsid w:val="00327BFA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418AB3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rsid w:val="00327BFA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5E5E5E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27BFA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327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rsid w:val="00327B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caption"/>
    <w:basedOn w:val="a0"/>
    <w:next w:val="a0"/>
    <w:uiPriority w:val="2"/>
    <w:unhideWhenUsed/>
    <w:qFormat/>
    <w:rsid w:val="00327BFA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sid w:val="00327BFA"/>
    <w:rPr>
      <w:rFonts w:asciiTheme="majorHAnsi" w:eastAsiaTheme="majorEastAsia" w:hAnsiTheme="majorHAnsi" w:cstheme="majorBidi"/>
      <w:b/>
      <w:bCs/>
      <w:color w:val="5E5E5E" w:themeColor="text2"/>
      <w:sz w:val="22"/>
    </w:rPr>
  </w:style>
  <w:style w:type="character" w:styleId="a7">
    <w:name w:val="Placeholder Text"/>
    <w:basedOn w:val="a1"/>
    <w:uiPriority w:val="99"/>
    <w:semiHidden/>
    <w:rsid w:val="00327BFA"/>
    <w:rPr>
      <w:color w:val="808080"/>
    </w:rPr>
  </w:style>
  <w:style w:type="paragraph" w:styleId="a">
    <w:name w:val="List Bullet"/>
    <w:basedOn w:val="a0"/>
    <w:uiPriority w:val="1"/>
    <w:unhideWhenUsed/>
    <w:qFormat/>
    <w:rsid w:val="00327BFA"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sid w:val="00327BFA"/>
    <w:rPr>
      <w:rFonts w:asciiTheme="majorHAnsi" w:eastAsiaTheme="majorEastAsia" w:hAnsiTheme="majorHAnsi" w:cstheme="majorBidi"/>
      <w:b/>
      <w:bCs/>
      <w:color w:val="418AB3" w:themeColor="accent1"/>
      <w:sz w:val="32"/>
    </w:rPr>
  </w:style>
  <w:style w:type="paragraph" w:customStyle="1" w:styleId="a8">
    <w:name w:val="Компания"/>
    <w:basedOn w:val="a0"/>
    <w:uiPriority w:val="2"/>
    <w:qFormat/>
    <w:rsid w:val="00327BFA"/>
    <w:pPr>
      <w:spacing w:after="0" w:line="240" w:lineRule="auto"/>
    </w:pPr>
    <w:rPr>
      <w:rFonts w:asciiTheme="majorHAnsi" w:eastAsiaTheme="majorEastAsia" w:hAnsiTheme="majorHAnsi" w:cstheme="majorBidi"/>
      <w:b/>
      <w:bCs/>
      <w:color w:val="418AB3" w:themeColor="accent1"/>
    </w:rPr>
  </w:style>
  <w:style w:type="paragraph" w:styleId="a9">
    <w:name w:val="footer"/>
    <w:basedOn w:val="a0"/>
    <w:link w:val="aa"/>
    <w:uiPriority w:val="2"/>
    <w:unhideWhenUsed/>
    <w:qFormat/>
    <w:rsid w:val="00327BFA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Знак"/>
    <w:basedOn w:val="a1"/>
    <w:link w:val="a9"/>
    <w:uiPriority w:val="2"/>
    <w:rsid w:val="00327BFA"/>
    <w:rPr>
      <w:rFonts w:asciiTheme="minorHAnsi" w:eastAsiaTheme="minorEastAsia" w:hAnsiTheme="minorHAnsi" w:cstheme="minorBidi"/>
      <w:sz w:val="17"/>
    </w:rPr>
  </w:style>
  <w:style w:type="paragraph" w:styleId="ab">
    <w:name w:val="Title"/>
    <w:basedOn w:val="a0"/>
    <w:next w:val="a0"/>
    <w:link w:val="ac"/>
    <w:uiPriority w:val="1"/>
    <w:qFormat/>
    <w:rsid w:val="00327BFA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c">
    <w:name w:val="Название Знак"/>
    <w:basedOn w:val="a1"/>
    <w:link w:val="ab"/>
    <w:uiPriority w:val="1"/>
    <w:rsid w:val="00327BFA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d">
    <w:name w:val="Subtitle"/>
    <w:basedOn w:val="a0"/>
    <w:next w:val="a0"/>
    <w:link w:val="ae"/>
    <w:uiPriority w:val="1"/>
    <w:qFormat/>
    <w:rsid w:val="00327BFA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e">
    <w:name w:val="Подзаголовок Знак"/>
    <w:basedOn w:val="a1"/>
    <w:link w:val="ad"/>
    <w:uiPriority w:val="1"/>
    <w:rsid w:val="00327BFA"/>
    <w:rPr>
      <w:i/>
      <w:iCs/>
      <w:color w:val="FFFFFF" w:themeColor="background1"/>
      <w:sz w:val="24"/>
    </w:rPr>
  </w:style>
  <w:style w:type="paragraph" w:styleId="af">
    <w:name w:val="No Spacing"/>
    <w:link w:val="af0"/>
    <w:uiPriority w:val="1"/>
    <w:qFormat/>
    <w:rsid w:val="00327BFA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rsid w:val="00327BFA"/>
    <w:pPr>
      <w:pBdr>
        <w:top w:val="single" w:sz="4" w:space="14" w:color="418AB3" w:themeColor="accent1"/>
        <w:bottom w:val="single" w:sz="4" w:space="14" w:color="418AB3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418AB3" w:themeColor="accent1"/>
      <w:sz w:val="34"/>
    </w:rPr>
  </w:style>
  <w:style w:type="character" w:customStyle="1" w:styleId="22">
    <w:name w:val="Цитата 2 Знак"/>
    <w:basedOn w:val="a1"/>
    <w:link w:val="21"/>
    <w:uiPriority w:val="1"/>
    <w:rsid w:val="00327BFA"/>
    <w:rPr>
      <w:rFonts w:asciiTheme="majorHAnsi" w:eastAsiaTheme="majorEastAsia" w:hAnsiTheme="majorHAnsi" w:cstheme="majorBidi"/>
      <w:i/>
      <w:iCs/>
      <w:color w:val="418AB3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sid w:val="00327BFA"/>
    <w:rPr>
      <w:b/>
      <w:bCs/>
    </w:rPr>
  </w:style>
  <w:style w:type="table" w:customStyle="1" w:styleId="41">
    <w:name w:val="Таблица простая 41"/>
    <w:basedOn w:val="a2"/>
    <w:uiPriority w:val="44"/>
    <w:rsid w:val="00E408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1">
    <w:name w:val="header"/>
    <w:basedOn w:val="a0"/>
    <w:link w:val="af2"/>
    <w:uiPriority w:val="99"/>
    <w:unhideWhenUsed/>
    <w:rsid w:val="00952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952F66"/>
  </w:style>
  <w:style w:type="character" w:styleId="af3">
    <w:name w:val="Hyperlink"/>
    <w:basedOn w:val="a1"/>
    <w:uiPriority w:val="99"/>
    <w:unhideWhenUsed/>
    <w:rsid w:val="00CD4AAB"/>
    <w:rPr>
      <w:color w:val="F59E00" w:themeColor="hyperlink"/>
      <w:u w:val="single"/>
    </w:rPr>
  </w:style>
  <w:style w:type="character" w:customStyle="1" w:styleId="af0">
    <w:name w:val="Без интервала Знак"/>
    <w:basedOn w:val="a1"/>
    <w:link w:val="af"/>
    <w:uiPriority w:val="1"/>
    <w:rsid w:val="00CD4AAB"/>
  </w:style>
  <w:style w:type="paragraph" w:styleId="af4">
    <w:name w:val="Balloon Text"/>
    <w:basedOn w:val="a0"/>
    <w:link w:val="af5"/>
    <w:uiPriority w:val="99"/>
    <w:semiHidden/>
    <w:unhideWhenUsed/>
    <w:rsid w:val="00F4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F44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6D6D6D" w:themeColor="text2" w:themeTint="E6"/>
        <w:sz w:val="18"/>
        <w:lang w:val="ru-RU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418AB3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5E5E5E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caption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5E5E5E" w:themeColor="text2"/>
      <w:sz w:val="22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Pr>
      <w:rFonts w:asciiTheme="majorHAnsi" w:eastAsiaTheme="majorEastAsia" w:hAnsiTheme="majorHAnsi" w:cstheme="majorBidi"/>
      <w:b/>
      <w:bCs/>
      <w:color w:val="418AB3" w:themeColor="accent1"/>
      <w:sz w:val="3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418AB3" w:themeColor="accent1"/>
    </w:rPr>
  </w:style>
  <w:style w:type="paragraph" w:styleId="a9">
    <w:name w:val="footer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Знак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styleId="ab">
    <w:name w:val="Title"/>
    <w:basedOn w:val="a0"/>
    <w:next w:val="a0"/>
    <w:link w:val="ac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c">
    <w:name w:val="Название Знак"/>
    <w:basedOn w:val="a1"/>
    <w:link w:val="ab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d">
    <w:name w:val="Subtitle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e">
    <w:name w:val="Подзаголовок Знак"/>
    <w:basedOn w:val="a1"/>
    <w:link w:val="ad"/>
    <w:uiPriority w:val="1"/>
    <w:rPr>
      <w:i/>
      <w:iCs/>
      <w:color w:val="FFFFFF" w:themeColor="background1"/>
      <w:sz w:val="24"/>
    </w:rPr>
  </w:style>
  <w:style w:type="paragraph" w:styleId="af">
    <w:name w:val="No Spacing"/>
    <w:link w:val="af0"/>
    <w:uiPriority w:val="1"/>
    <w:qFormat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pPr>
      <w:pBdr>
        <w:top w:val="single" w:sz="4" w:space="14" w:color="418AB3" w:themeColor="accent1"/>
        <w:bottom w:val="single" w:sz="4" w:space="14" w:color="418AB3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418AB3" w:themeColor="accent1"/>
      <w:sz w:val="34"/>
    </w:rPr>
  </w:style>
  <w:style w:type="character" w:customStyle="1" w:styleId="22">
    <w:name w:val="Цитата 2 Знак"/>
    <w:basedOn w:val="a1"/>
    <w:link w:val="21"/>
    <w:uiPriority w:val="1"/>
    <w:rPr>
      <w:rFonts w:asciiTheme="majorHAnsi" w:eastAsiaTheme="majorEastAsia" w:hAnsiTheme="majorHAnsi" w:cstheme="majorBidi"/>
      <w:i/>
      <w:iCs/>
      <w:color w:val="418AB3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Pr>
      <w:b/>
      <w:bCs/>
    </w:rPr>
  </w:style>
  <w:style w:type="table" w:customStyle="1" w:styleId="41">
    <w:name w:val="Таблица простая 41"/>
    <w:basedOn w:val="a2"/>
    <w:uiPriority w:val="44"/>
    <w:rsid w:val="00E408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1">
    <w:name w:val="header"/>
    <w:basedOn w:val="a0"/>
    <w:link w:val="af2"/>
    <w:uiPriority w:val="99"/>
    <w:unhideWhenUsed/>
    <w:rsid w:val="00952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952F66"/>
  </w:style>
  <w:style w:type="character" w:styleId="af3">
    <w:name w:val="Hyperlink"/>
    <w:basedOn w:val="a1"/>
    <w:uiPriority w:val="99"/>
    <w:unhideWhenUsed/>
    <w:rsid w:val="00CD4AAB"/>
    <w:rPr>
      <w:color w:val="F59E00" w:themeColor="hyperlink"/>
      <w:u w:val="single"/>
    </w:rPr>
  </w:style>
  <w:style w:type="character" w:customStyle="1" w:styleId="af0">
    <w:name w:val="Без интервала Знак"/>
    <w:basedOn w:val="a1"/>
    <w:link w:val="af"/>
    <w:uiPriority w:val="1"/>
    <w:rsid w:val="00CD4AAB"/>
  </w:style>
  <w:style w:type="paragraph" w:styleId="af4">
    <w:name w:val="Balloon Text"/>
    <w:basedOn w:val="a0"/>
    <w:link w:val="af5"/>
    <w:uiPriority w:val="99"/>
    <w:semiHidden/>
    <w:unhideWhenUsed/>
    <w:rsid w:val="00F4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F44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nalog.ru/rn77/service/tax/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yperlink" Target="https://www.nalog.ru/rn77/service/tax/" TargetMode="External"/><Relationship Id="rId10" Type="http://schemas.openxmlformats.org/officeDocument/2006/relationships/hyperlink" Target="https://www.nalog.ru/rn77/fl/interest/imuch_mes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72;&#1082;&#1077;&#1085;&#1103;\Downloads\tf02911898_win32.dotx" TargetMode="External"/></Relationships>
</file>

<file path=word/theme/theme1.xml><?xml version="1.0" encoding="utf-8"?>
<a:theme xmlns:a="http://schemas.openxmlformats.org/drawingml/2006/main" name="Small Business Set">
  <a:themeElements>
    <a:clrScheme name="Бегущая строка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tf02911898_win32</Template>
  <TotalTime>5</TotalTime>
  <Pages>2</Pages>
  <Words>956</Words>
  <Characters>5455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Макеня</dc:creator>
  <cp:lastModifiedBy>3532-02-147</cp:lastModifiedBy>
  <cp:revision>2</cp:revision>
  <cp:lastPrinted>2020-10-06T11:24:00Z</cp:lastPrinted>
  <dcterms:created xsi:type="dcterms:W3CDTF">2020-10-06T11:29:00Z</dcterms:created>
  <dcterms:modified xsi:type="dcterms:W3CDTF">2020-10-06T11:29:00Z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